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905E" w14:textId="2A678B0E" w:rsidR="00921B14" w:rsidRDefault="00AE0FC6" w:rsidP="002B75AC">
      <w:pPr>
        <w:jc w:val="both"/>
      </w:pPr>
      <w:r>
        <w:t>Om</w:t>
      </w:r>
      <w:r w:rsidR="00951276">
        <w:t xml:space="preserve"> faktura for</w:t>
      </w:r>
      <w:r>
        <w:t xml:space="preserve"> vann- og avløpsgebyrer</w:t>
      </w:r>
      <w:r w:rsidR="00951276">
        <w:t xml:space="preserve"> er enkeltvedtak</w:t>
      </w:r>
    </w:p>
    <w:p w14:paraId="2E7D45E8" w14:textId="3F0DB1CF" w:rsidR="00AE0FC6" w:rsidRPr="001E59D5" w:rsidRDefault="004A3F6C" w:rsidP="002B75AC">
      <w:pPr>
        <w:jc w:val="both"/>
        <w:rPr>
          <w:u w:val="single"/>
        </w:rPr>
      </w:pPr>
      <w:r w:rsidRPr="001E59D5">
        <w:rPr>
          <w:u w:val="single"/>
        </w:rPr>
        <w:t>Generelt</w:t>
      </w:r>
    </w:p>
    <w:p w14:paraId="0B6B2FDD" w14:textId="326AE6C8" w:rsidR="004A3F6C" w:rsidRDefault="00BC7035" w:rsidP="002B75AC">
      <w:pPr>
        <w:jc w:val="both"/>
      </w:pPr>
      <w:r>
        <w:t xml:space="preserve">Plikten til å betale vann- og avløpsgebyrer </w:t>
      </w:r>
      <w:r w:rsidR="00C27EDB">
        <w:t>ved tilknytning til kommunalt VA-anlegg følger av lov om kommunal vass- og avløpsanlegg</w:t>
      </w:r>
      <w:r w:rsidR="00316ECF">
        <w:t xml:space="preserve"> av 16. mars 2012 (vass- og avløpsanleggslova) § 3</w:t>
      </w:r>
      <w:r w:rsidR="00397F04">
        <w:t xml:space="preserve">: </w:t>
      </w:r>
      <w:r w:rsidR="00DD6CAC">
        <w:t>"</w:t>
      </w:r>
      <w:r w:rsidR="00397F04" w:rsidRPr="00DD6CAC">
        <w:t>Når ein fast eigedom har tilknyting til kommunal vass- eller avløpsleidning (…) har eigaren skyldnad til å svare vass- og avløpsgebyr til kommunen</w:t>
      </w:r>
      <w:r w:rsidR="00DD6CAC">
        <w:rPr>
          <w:i/>
        </w:rPr>
        <w:t>"</w:t>
      </w:r>
      <w:r w:rsidR="00397F04" w:rsidRPr="00397F04">
        <w:rPr>
          <w:i/>
        </w:rPr>
        <w:t>.</w:t>
      </w:r>
      <w:r w:rsidR="00123122">
        <w:t xml:space="preserve"> Det følger videre av § 4 at </w:t>
      </w:r>
      <w:r w:rsidR="00871211">
        <w:t xml:space="preserve">rammene for gebyrene (tilknytnings- og årsgebyr), samt regler for utregning og innkreving, skal fastsettes i forskrift. </w:t>
      </w:r>
      <w:r w:rsidR="008B0EB9">
        <w:t>Reglene for beregning av vann- og avløpsgebyr fastsettes av den enkelte kommune i forskrift gitt med hjemmel i forurensningsforskriften § 16-1. Forurensningsforskriften kapittel 16 inneholder retningslinjer for fastsettelsen av gebyrene, men med mulighet for kommunen til å velge mellom ulike beregningsløsninger.</w:t>
      </w:r>
      <w:r w:rsidR="006F28D9">
        <w:t xml:space="preserve"> </w:t>
      </w:r>
      <w:r w:rsidR="00A12F51">
        <w:t>G</w:t>
      </w:r>
      <w:r w:rsidR="008B6510">
        <w:t>ebyrene</w:t>
      </w:r>
      <w:r w:rsidR="00A12F51">
        <w:t xml:space="preserve"> </w:t>
      </w:r>
      <w:r w:rsidR="00F95B18">
        <w:t xml:space="preserve">kan </w:t>
      </w:r>
      <w:r w:rsidR="007E3D32">
        <w:t>fasts</w:t>
      </w:r>
      <w:r w:rsidR="00F95B18">
        <w:t>e</w:t>
      </w:r>
      <w:r w:rsidR="007E3D32">
        <w:t>tt</w:t>
      </w:r>
      <w:r w:rsidR="00F95B18">
        <w:t>es</w:t>
      </w:r>
      <w:r w:rsidR="007E3D32">
        <w:t xml:space="preserve"> </w:t>
      </w:r>
      <w:r w:rsidR="0091151D">
        <w:t>ut fra eiendommens</w:t>
      </w:r>
      <w:r w:rsidR="001C56FB">
        <w:t>/boenhetens</w:t>
      </w:r>
      <w:r w:rsidR="0091151D">
        <w:t xml:space="preserve"> areal, faktis</w:t>
      </w:r>
      <w:r w:rsidR="00A04B39">
        <w:t>k forbruk</w:t>
      </w:r>
      <w:r w:rsidR="00F95B18">
        <w:t xml:space="preserve"> eller</w:t>
      </w:r>
      <w:r w:rsidR="00A04B39">
        <w:t xml:space="preserve"> en todelt løsning med en fast og en variabel del.</w:t>
      </w:r>
      <w:r w:rsidR="00AA1A01">
        <w:rPr>
          <w:rStyle w:val="Fotnotereferanse"/>
        </w:rPr>
        <w:footnoteReference w:id="1"/>
      </w:r>
      <w:r w:rsidR="00A04B39">
        <w:t xml:space="preserve"> </w:t>
      </w:r>
      <w:r w:rsidR="00783E6D">
        <w:t xml:space="preserve">Den enkelte kommune vil gjennom </w:t>
      </w:r>
      <w:r w:rsidR="00005FE5">
        <w:t xml:space="preserve">den lokale </w:t>
      </w:r>
      <w:r w:rsidR="00783E6D">
        <w:t>forskrift</w:t>
      </w:r>
      <w:r w:rsidR="00005FE5">
        <w:t>en</w:t>
      </w:r>
      <w:r w:rsidR="00783E6D">
        <w:t xml:space="preserve"> ha valgt en av disse modellene som </w:t>
      </w:r>
      <w:r w:rsidR="00B73B18">
        <w:t>hovedløsning</w:t>
      </w:r>
      <w:r w:rsidR="00BE4129">
        <w:t xml:space="preserve">. </w:t>
      </w:r>
    </w:p>
    <w:p w14:paraId="3D34B383" w14:textId="3A2A6C43" w:rsidR="003B7EC5" w:rsidRDefault="00972F7C" w:rsidP="002B75AC">
      <w:pPr>
        <w:jc w:val="both"/>
      </w:pPr>
      <w:r>
        <w:t xml:space="preserve">Ved flere tilfeller har det blitt reist spørsmål om selve utskrivingen av faktura for vann- og avløpsgebyrer er å anse som et enkeltvedtak i henhold til forvaltningsloven § 2 </w:t>
      </w:r>
      <w:r w:rsidR="00D104C7">
        <w:t xml:space="preserve">bokstav b. </w:t>
      </w:r>
      <w:r w:rsidR="006B19F7">
        <w:t xml:space="preserve">I både 1998 og 2002 la daværende Statens </w:t>
      </w:r>
      <w:r w:rsidR="00BD46F1">
        <w:t>Forurensningstilsyn</w:t>
      </w:r>
      <w:r w:rsidR="006B19F7">
        <w:t xml:space="preserve"> (nå: Miljødirektoratet) til grunn at</w:t>
      </w:r>
      <w:r w:rsidR="004B3E8C">
        <w:t xml:space="preserve"> «</w:t>
      </w:r>
      <w:r w:rsidR="00405398">
        <w:t>[d]</w:t>
      </w:r>
      <w:r w:rsidR="004B3E8C">
        <w:t xml:space="preserve">ersom selve utskrivingen er et resultat av et vedtak truffet individuelt overfor den enkelte gebyrpliktige, vil det være et </w:t>
      </w:r>
      <w:r w:rsidR="004E680C">
        <w:t>enkeltvedtak …</w:t>
      </w:r>
      <w:r w:rsidR="004B3E8C">
        <w:t>»</w:t>
      </w:r>
      <w:r w:rsidR="00405398">
        <w:t>.</w:t>
      </w:r>
      <w:r w:rsidR="00405398">
        <w:rPr>
          <w:rStyle w:val="Fotnotereferanse"/>
        </w:rPr>
        <w:footnoteReference w:id="2"/>
      </w:r>
      <w:r w:rsidR="00324D75">
        <w:t xml:space="preserve"> Det </w:t>
      </w:r>
      <w:r w:rsidR="00726F6E">
        <w:t>avgjørende for spørsmålet om utskr</w:t>
      </w:r>
      <w:r w:rsidR="00227893">
        <w:t xml:space="preserve">ivingen av faktura er å anse som enkeltvedtak, blir derfor hvordan kommunen har utformet </w:t>
      </w:r>
      <w:r w:rsidR="00D617E2">
        <w:t>gebyr</w:t>
      </w:r>
      <w:r w:rsidR="00227893">
        <w:t>forskrift</w:t>
      </w:r>
      <w:r w:rsidR="003B1ECA">
        <w:t>en</w:t>
      </w:r>
      <w:r w:rsidR="00227893">
        <w:t xml:space="preserve">. I </w:t>
      </w:r>
      <w:r w:rsidR="00F61B23">
        <w:t>brev av 31.mai 2002</w:t>
      </w:r>
      <w:r w:rsidR="00F61B23">
        <w:rPr>
          <w:rStyle w:val="Fotnotereferanse"/>
        </w:rPr>
        <w:footnoteReference w:id="3"/>
      </w:r>
      <w:r w:rsidR="00ED2983">
        <w:t xml:space="preserve"> uttaler daværende Statens forurensningstilsyn videre:</w:t>
      </w:r>
    </w:p>
    <w:p w14:paraId="1F3A9BF7" w14:textId="29D78C65" w:rsidR="00972F7C" w:rsidRDefault="00ED2983" w:rsidP="002B75AC">
      <w:pPr>
        <w:ind w:left="708"/>
        <w:jc w:val="both"/>
      </w:pPr>
      <w:r>
        <w:t xml:space="preserve"> "De fleste kommuner har </w:t>
      </w:r>
      <w:r w:rsidR="00A67066">
        <w:t>(…) utformet gebyrforskriften slik at utskrivningen av gebyret følger helt automatisk av forskriften, uten at det foretas noen rettslige eller faktiske vurderinge</w:t>
      </w:r>
      <w:r w:rsidR="003B7EC5">
        <w:t xml:space="preserve">r. Det er forskriften som er bestemmende for rettigheter og plikter, og det er derfor ikke naturlig å se selve utskrivningen av gebyret som et vedtak". </w:t>
      </w:r>
    </w:p>
    <w:p w14:paraId="4D31D66F" w14:textId="56E686B9" w:rsidR="003B7EC5" w:rsidRDefault="00530296" w:rsidP="002B75AC">
      <w:pPr>
        <w:jc w:val="both"/>
      </w:pPr>
      <w:r>
        <w:t>Den forståelse som er lagt til grunn de siste t</w:t>
      </w:r>
      <w:r w:rsidR="006B44D8">
        <w:t>jue</w:t>
      </w:r>
      <w:r>
        <w:t xml:space="preserve"> årene, og som også er den som kommer til uttrykk i lovavdelingens uttalelse fra </w:t>
      </w:r>
      <w:r w:rsidR="006B44D8">
        <w:t xml:space="preserve">15. april 2019, er dermed at </w:t>
      </w:r>
      <w:r w:rsidR="005A75AA">
        <w:t>utskrivningen av faktura ikke er å anse som et enkeltvedtak</w:t>
      </w:r>
      <w:r w:rsidR="001C012B">
        <w:t xml:space="preserve"> når </w:t>
      </w:r>
      <w:r w:rsidR="005A75AA">
        <w:t>beregningen gjøres helt skjematisk som følge av for</w:t>
      </w:r>
      <w:r w:rsidR="001C012B">
        <w:t xml:space="preserve">skriften. </w:t>
      </w:r>
      <w:r w:rsidR="00825EB7">
        <w:t xml:space="preserve">Dersom man derimot har utformet den lokale forskriften slik at det må foretas en individuell vurdering av </w:t>
      </w:r>
      <w:r w:rsidR="00A85D28">
        <w:t xml:space="preserve">grunnlaget for og utregningen av gebyret, vil det være et enkeltvedtak som skal behandles i tråd med saksbehandlingsreglene i forvaltningsloven kapittel IV-VI, og som </w:t>
      </w:r>
      <w:r w:rsidR="002577A7">
        <w:t xml:space="preserve">det kan klages på i tråd med forvaltningsloven § 28. </w:t>
      </w:r>
    </w:p>
    <w:p w14:paraId="64CB5427" w14:textId="57AADDBD" w:rsidR="001E371E" w:rsidRDefault="001E371E" w:rsidP="002B75AC">
      <w:pPr>
        <w:jc w:val="both"/>
      </w:pPr>
      <w:r>
        <w:t xml:space="preserve">Det skal for ordens skyld nevnes at det er lagt til grunn at </w:t>
      </w:r>
      <w:r w:rsidR="00D51FE7">
        <w:t xml:space="preserve">vedtak om </w:t>
      </w:r>
      <w:r>
        <w:t xml:space="preserve">oppgjørskorreksjoner er </w:t>
      </w:r>
      <w:r w:rsidR="00D51FE7">
        <w:t xml:space="preserve">å anse som enkeltvedtak, som må følge reglene i forvaltningsloven kapittel IV-VI. </w:t>
      </w:r>
    </w:p>
    <w:p w14:paraId="6D875CCB" w14:textId="77777777" w:rsidR="003C4D70" w:rsidRDefault="00C05791" w:rsidP="002B75AC">
      <w:pPr>
        <w:jc w:val="both"/>
      </w:pPr>
      <w:r w:rsidRPr="00510940">
        <w:t>Professor emeritus Jan Fridt</w:t>
      </w:r>
      <w:r w:rsidR="00510940" w:rsidRPr="00510940">
        <w:t>h</w:t>
      </w:r>
      <w:r w:rsidRPr="00510940">
        <w:t xml:space="preserve">jof Bernt </w:t>
      </w:r>
      <w:r w:rsidR="00510940" w:rsidRPr="00510940">
        <w:t xml:space="preserve">har uttalt </w:t>
      </w:r>
      <w:r w:rsidR="00510940">
        <w:t xml:space="preserve">i blant annet Kommunal Rapport </w:t>
      </w:r>
      <w:r w:rsidR="0012632F">
        <w:t>14. mai 2019</w:t>
      </w:r>
      <w:r w:rsidR="00F01A92">
        <w:t xml:space="preserve"> at</w:t>
      </w:r>
      <w:r w:rsidR="004A5AA6">
        <w:t xml:space="preserve"> han oppfatter den etablerte forståelse som en "innskrenkende </w:t>
      </w:r>
      <w:r w:rsidR="00FC16ED">
        <w:t>tolking" og videre at:</w:t>
      </w:r>
      <w:r w:rsidR="00F01A92">
        <w:t xml:space="preserve"> </w:t>
      </w:r>
    </w:p>
    <w:p w14:paraId="7B9F72F5" w14:textId="77777777" w:rsidR="003C4D70" w:rsidRDefault="00F04687" w:rsidP="003C4D70">
      <w:pPr>
        <w:ind w:left="708"/>
        <w:jc w:val="both"/>
      </w:pPr>
      <w:r>
        <w:t xml:space="preserve">"Plikten til å </w:t>
      </w:r>
      <w:r w:rsidR="00705A29">
        <w:t>betale gebyr begynner ikke å løpe før det foreligger en faktura eller annen melding fra forvaltningen om dette</w:t>
      </w:r>
      <w:r w:rsidR="000F1F31">
        <w:t xml:space="preserve">, og for borgeren er det da ganske likegyldig om gebyrfastsettelsen er basert på et generelt </w:t>
      </w:r>
      <w:r w:rsidR="00860C35">
        <w:t>regelverk eller en mer individualisert vurderin</w:t>
      </w:r>
      <w:r w:rsidR="00AC74C0">
        <w:t>g</w:t>
      </w:r>
      <w:r w:rsidR="00FC16ED">
        <w:t xml:space="preserve">". </w:t>
      </w:r>
    </w:p>
    <w:p w14:paraId="08DAAB78" w14:textId="55AFEECD" w:rsidR="007721FA" w:rsidRPr="00510940" w:rsidRDefault="004B2CEE" w:rsidP="002B75AC">
      <w:pPr>
        <w:jc w:val="both"/>
      </w:pPr>
      <w:r>
        <w:lastRenderedPageBreak/>
        <w:t xml:space="preserve">Det </w:t>
      </w:r>
      <w:r w:rsidR="003F0AF5">
        <w:t>kan innvendes mot professor Bernts uttalelse at plikten ikke</w:t>
      </w:r>
      <w:r w:rsidR="00864609">
        <w:t xml:space="preserve"> etableres ved fakturaen, men følger som nevnt av vass- og avløpsanleggslova § 3</w:t>
      </w:r>
      <w:r w:rsidR="003F0AF5">
        <w:t xml:space="preserve">. </w:t>
      </w:r>
      <w:r w:rsidR="00B81813">
        <w:t xml:space="preserve">Gebyrene fastsettes som oftest verken av </w:t>
      </w:r>
      <w:r w:rsidR="00F06A0F">
        <w:t>"generelt regelverk" eller "individualisert vurdering</w:t>
      </w:r>
      <w:r w:rsidR="00730F9A">
        <w:t>"</w:t>
      </w:r>
      <w:r w:rsidR="00F06A0F">
        <w:t>, men</w:t>
      </w:r>
      <w:r w:rsidR="00DF35D6">
        <w:t xml:space="preserve"> ut fra spesifiserte regler i forskrift. </w:t>
      </w:r>
      <w:r w:rsidR="00730F9A">
        <w:t xml:space="preserve">Miljødirektoratet oppfatter med andre ord professor Bernts uttalelser som prinsipielle uttalelser på generelt grunnlag, som ikke i tilstrekkelig grad tar høyde for det særskilte </w:t>
      </w:r>
      <w:r w:rsidR="00C34595">
        <w:t xml:space="preserve">systemet for vann- og avløpsavgifter. </w:t>
      </w:r>
    </w:p>
    <w:p w14:paraId="148F3551" w14:textId="676C59D6" w:rsidR="0004315F" w:rsidRDefault="0004315F" w:rsidP="002B75AC">
      <w:pPr>
        <w:jc w:val="both"/>
      </w:pPr>
      <w:r>
        <w:t xml:space="preserve">Selv om utskriving av faktura således som </w:t>
      </w:r>
      <w:r w:rsidR="00866146">
        <w:t xml:space="preserve">oftest </w:t>
      </w:r>
      <w:r>
        <w:t xml:space="preserve">ikke vil være å anse som et enkeltvedtak, er </w:t>
      </w:r>
      <w:r w:rsidR="00866146">
        <w:t xml:space="preserve">Miljødirektoratet likevel enig med professor Bernt i at </w:t>
      </w:r>
      <w:r>
        <w:t>det</w:t>
      </w:r>
      <w:r w:rsidR="00866146">
        <w:t xml:space="preserve"> er</w:t>
      </w:r>
      <w:r>
        <w:t xml:space="preserve"> viktig å sikre </w:t>
      </w:r>
      <w:r w:rsidR="00A86AAF">
        <w:t xml:space="preserve">de hensyn som ligger bak saksbehandlingsreglene og klageadgangen nedfelt i forvaltningsloven kapittel IV-VI. Hensynet til forutsigbarhet er ivaretatt ved at </w:t>
      </w:r>
      <w:r w:rsidR="007A728F">
        <w:t xml:space="preserve">man finner spesifiserte regler om </w:t>
      </w:r>
      <w:r w:rsidR="00B46AE2">
        <w:t>utregningen i den lokale forskriften. Miljødirektoratet erfarer også at mange kommuner har tydelig informasjon om dette på sine hjemmesider.</w:t>
      </w:r>
      <w:r w:rsidR="006E4B18">
        <w:rPr>
          <w:rStyle w:val="Fotnotereferanse"/>
        </w:rPr>
        <w:footnoteReference w:id="4"/>
      </w:r>
      <w:r w:rsidR="00B46AE2">
        <w:t xml:space="preserve"> </w:t>
      </w:r>
      <w:r w:rsidR="00481072">
        <w:t xml:space="preserve">En utfordring </w:t>
      </w:r>
      <w:r w:rsidR="00771FA8">
        <w:t>m</w:t>
      </w:r>
      <w:r w:rsidR="00481072">
        <w:t xml:space="preserve">ed at reglene i forvaltningsloven kapittel </w:t>
      </w:r>
      <w:r w:rsidR="00467227">
        <w:t>IV-VI som utgangspunkt ikke kommer til anvendelse, er imi</w:t>
      </w:r>
      <w:r w:rsidR="002E2E4B">
        <w:t xml:space="preserve">dlertid å vite hvordan man kan gå frem når man mener det er feil ved fakturaen. </w:t>
      </w:r>
      <w:r w:rsidR="00433249">
        <w:t>Reglene om klage</w:t>
      </w:r>
      <w:r w:rsidR="00887811">
        <w:t xml:space="preserve"> og omgjøring</w:t>
      </w:r>
      <w:r w:rsidR="00433249">
        <w:t xml:space="preserve"> i forvaltningsloven</w:t>
      </w:r>
      <w:r w:rsidR="00887811">
        <w:t xml:space="preserve"> kapittel VI gjelder kun for enkeltvedtak. </w:t>
      </w:r>
      <w:r w:rsidR="00E51AFC">
        <w:t xml:space="preserve">God forvaltningsskikk tilsier </w:t>
      </w:r>
      <w:r w:rsidR="009A4809">
        <w:t xml:space="preserve">likevel </w:t>
      </w:r>
      <w:r w:rsidR="00E51AFC">
        <w:t xml:space="preserve">at man </w:t>
      </w:r>
      <w:r w:rsidR="00074299">
        <w:t xml:space="preserve">bør sikre </w:t>
      </w:r>
      <w:r w:rsidR="00E51AFC">
        <w:t xml:space="preserve">borgerne en mulighet til </w:t>
      </w:r>
      <w:r w:rsidR="009A4809">
        <w:t>å rette innsigelser mot fakturaen.</w:t>
      </w:r>
    </w:p>
    <w:p w14:paraId="2436BC0B" w14:textId="47B871C6" w:rsidR="009A4809" w:rsidRPr="00406D4F" w:rsidRDefault="009A4809" w:rsidP="002B75AC">
      <w:pPr>
        <w:jc w:val="both"/>
      </w:pPr>
      <w:r>
        <w:t xml:space="preserve">Dersom </w:t>
      </w:r>
      <w:r w:rsidR="009C58CE">
        <w:t xml:space="preserve">vann- og avløpsgebyrene beregnes ut fra boligens areal, og man mener </w:t>
      </w:r>
      <w:r w:rsidR="00F3382F">
        <w:t xml:space="preserve">det er feil ved det registrerte areal, kan dette søkes rettet ved å henvende seg til </w:t>
      </w:r>
      <w:r w:rsidR="00C33108">
        <w:t xml:space="preserve">den etaten som er ansvarlig for matrikkelen. I tråd med </w:t>
      </w:r>
      <w:r w:rsidR="00D23BA4">
        <w:t xml:space="preserve">forvaltningens veiledningsplikt vil det være hensiktsmessig å opplyse om dette i forbindelse med fakturering. </w:t>
      </w:r>
      <w:r w:rsidR="00D6640C">
        <w:t>I tillegg eller alternativt kan man oppgi kontaktinformasjon til vann- og avløpsetaten,</w:t>
      </w:r>
      <w:r w:rsidR="006164B7">
        <w:t xml:space="preserve"> slik man eksempelvis gjør på flere kommuners hjemmesider. </w:t>
      </w:r>
      <w:r w:rsidR="00B26AC9">
        <w:t xml:space="preserve">Det kan da både fungere som en </w:t>
      </w:r>
      <w:r w:rsidR="004D12F6">
        <w:t>kanal for å</w:t>
      </w:r>
      <w:r w:rsidR="00B26AC9">
        <w:t xml:space="preserve"> </w:t>
      </w:r>
      <w:r w:rsidR="001B61B6">
        <w:t>veilede borgerne, og en mulighet for borgeren til å rette innsigelser direkte til den etaten som er ansvarlig for utskriving</w:t>
      </w:r>
      <w:r w:rsidR="00070422">
        <w:t xml:space="preserve"> av fakturaen. Kommunene har mulighet til å opprette slike kanaler, uavhengig av saksbehandlingsreglene i forvaltningsloven, når det </w:t>
      </w:r>
      <w:r w:rsidR="001E371E">
        <w:t xml:space="preserve">er til borgernes fordel. </w:t>
      </w:r>
    </w:p>
    <w:sectPr w:rsidR="009A4809" w:rsidRPr="0040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2AE90" w14:textId="77777777" w:rsidR="00AF56FC" w:rsidRDefault="00AF56FC" w:rsidP="00405398">
      <w:pPr>
        <w:spacing w:after="0" w:line="240" w:lineRule="auto"/>
      </w:pPr>
      <w:r>
        <w:separator/>
      </w:r>
    </w:p>
  </w:endnote>
  <w:endnote w:type="continuationSeparator" w:id="0">
    <w:p w14:paraId="32764304" w14:textId="77777777" w:rsidR="00AF56FC" w:rsidRDefault="00AF56FC" w:rsidP="00405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5B6CB" w14:textId="77777777" w:rsidR="00AF56FC" w:rsidRDefault="00AF56FC" w:rsidP="00405398">
      <w:pPr>
        <w:spacing w:after="0" w:line="240" w:lineRule="auto"/>
      </w:pPr>
      <w:r>
        <w:separator/>
      </w:r>
    </w:p>
  </w:footnote>
  <w:footnote w:type="continuationSeparator" w:id="0">
    <w:p w14:paraId="2DE4B84D" w14:textId="77777777" w:rsidR="00AF56FC" w:rsidRDefault="00AF56FC" w:rsidP="00405398">
      <w:pPr>
        <w:spacing w:after="0" w:line="240" w:lineRule="auto"/>
      </w:pPr>
      <w:r>
        <w:continuationSeparator/>
      </w:r>
    </w:p>
  </w:footnote>
  <w:footnote w:id="1">
    <w:p w14:paraId="39F5F2D3" w14:textId="27195514" w:rsidR="00AA1A01" w:rsidRDefault="00AA1A01">
      <w:pPr>
        <w:pStyle w:val="Fotnotetekst"/>
      </w:pPr>
      <w:r>
        <w:rPr>
          <w:rStyle w:val="Fotnotereferanse"/>
        </w:rPr>
        <w:footnoteRef/>
      </w:r>
      <w:r>
        <w:t xml:space="preserve"> Se forurensningsforskriften § 16-4. </w:t>
      </w:r>
    </w:p>
  </w:footnote>
  <w:footnote w:id="2">
    <w:p w14:paraId="01E41219" w14:textId="52347765" w:rsidR="00405398" w:rsidRDefault="00405398">
      <w:pPr>
        <w:pStyle w:val="Fotnotetekst"/>
      </w:pPr>
      <w:r>
        <w:rPr>
          <w:rStyle w:val="Fotnotereferanse"/>
        </w:rPr>
        <w:footnoteRef/>
      </w:r>
      <w:r>
        <w:t xml:space="preserve"> Se </w:t>
      </w:r>
      <w:r w:rsidR="00AD17D1">
        <w:t xml:space="preserve">saksnr. 2002/716-2 og </w:t>
      </w:r>
      <w:r w:rsidR="006E62FB">
        <w:t>94/</w:t>
      </w:r>
      <w:r w:rsidR="0026164A">
        <w:t xml:space="preserve">8006. </w:t>
      </w:r>
    </w:p>
  </w:footnote>
  <w:footnote w:id="3">
    <w:p w14:paraId="2A3CEB70" w14:textId="5B5C13C8" w:rsidR="00F61B23" w:rsidRDefault="00F61B23">
      <w:pPr>
        <w:pStyle w:val="Fotnotetekst"/>
      </w:pPr>
      <w:r>
        <w:rPr>
          <w:rStyle w:val="Fotnotereferanse"/>
        </w:rPr>
        <w:footnoteRef/>
      </w:r>
      <w:r>
        <w:t xml:space="preserve"> Saksnr. 2002/716</w:t>
      </w:r>
    </w:p>
  </w:footnote>
  <w:footnote w:id="4">
    <w:p w14:paraId="685C364D" w14:textId="58734AF4" w:rsidR="006E4B18" w:rsidRDefault="006E4B18">
      <w:pPr>
        <w:pStyle w:val="Fotnotetekst"/>
      </w:pPr>
      <w:r>
        <w:rPr>
          <w:rStyle w:val="Fotnotereferanse"/>
        </w:rPr>
        <w:footnoteRef/>
      </w:r>
      <w:r>
        <w:t xml:space="preserve"> Se for eksempel </w:t>
      </w:r>
      <w:hyperlink r:id="rId1" w:history="1">
        <w:r w:rsidR="000D2807">
          <w:rPr>
            <w:rStyle w:val="Hyperkobling"/>
          </w:rPr>
          <w:t>https://www.oslo.kommune.no/vann-og-avlop/priser-beregninger-og-vannmaler/</w:t>
        </w:r>
      </w:hyperlink>
      <w:r w:rsidR="000D2807">
        <w:t xml:space="preserve"> og </w:t>
      </w:r>
      <w:hyperlink r:id="rId2" w:history="1">
        <w:r w:rsidR="00E56C37">
          <w:rPr>
            <w:rStyle w:val="Hyperkobling"/>
          </w:rPr>
          <w:t>https://www.trondheim.kommune.no/tema/veg-vann-og-avlop/vann-og-avlop/vann-og-avlop-for-innbygger/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FC6"/>
    <w:rsid w:val="00005FE5"/>
    <w:rsid w:val="0004315F"/>
    <w:rsid w:val="00070422"/>
    <w:rsid w:val="00074299"/>
    <w:rsid w:val="000D2807"/>
    <w:rsid w:val="000F1F31"/>
    <w:rsid w:val="000F4568"/>
    <w:rsid w:val="00123122"/>
    <w:rsid w:val="0012632F"/>
    <w:rsid w:val="001A7C94"/>
    <w:rsid w:val="001B61B6"/>
    <w:rsid w:val="001C012B"/>
    <w:rsid w:val="001C56FB"/>
    <w:rsid w:val="001D4522"/>
    <w:rsid w:val="001E371E"/>
    <w:rsid w:val="001E59D5"/>
    <w:rsid w:val="00227893"/>
    <w:rsid w:val="002577A7"/>
    <w:rsid w:val="0026164A"/>
    <w:rsid w:val="002B75AC"/>
    <w:rsid w:val="002D0017"/>
    <w:rsid w:val="002D71E5"/>
    <w:rsid w:val="002E2E4B"/>
    <w:rsid w:val="00316ECF"/>
    <w:rsid w:val="00324D75"/>
    <w:rsid w:val="003561FD"/>
    <w:rsid w:val="00397F04"/>
    <w:rsid w:val="003B1ECA"/>
    <w:rsid w:val="003B7EC5"/>
    <w:rsid w:val="003C4D70"/>
    <w:rsid w:val="003F0AF5"/>
    <w:rsid w:val="00405398"/>
    <w:rsid w:val="00405BDD"/>
    <w:rsid w:val="00406D4F"/>
    <w:rsid w:val="00433249"/>
    <w:rsid w:val="00467227"/>
    <w:rsid w:val="00481072"/>
    <w:rsid w:val="004A2B10"/>
    <w:rsid w:val="004A3F6C"/>
    <w:rsid w:val="004A5AA6"/>
    <w:rsid w:val="004B2CEE"/>
    <w:rsid w:val="004B3E8C"/>
    <w:rsid w:val="004D12F6"/>
    <w:rsid w:val="004D6C11"/>
    <w:rsid w:val="004E680C"/>
    <w:rsid w:val="00510940"/>
    <w:rsid w:val="00530296"/>
    <w:rsid w:val="005A75AA"/>
    <w:rsid w:val="006164B7"/>
    <w:rsid w:val="00652456"/>
    <w:rsid w:val="006B19F7"/>
    <w:rsid w:val="006B44D8"/>
    <w:rsid w:val="006E4B18"/>
    <w:rsid w:val="006E62FB"/>
    <w:rsid w:val="006F28D9"/>
    <w:rsid w:val="00705A29"/>
    <w:rsid w:val="0071011E"/>
    <w:rsid w:val="00726F6E"/>
    <w:rsid w:val="00730F9A"/>
    <w:rsid w:val="00771FA8"/>
    <w:rsid w:val="007721FA"/>
    <w:rsid w:val="00783E6D"/>
    <w:rsid w:val="007A728F"/>
    <w:rsid w:val="007E3D32"/>
    <w:rsid w:val="00825EB7"/>
    <w:rsid w:val="00860C35"/>
    <w:rsid w:val="00864609"/>
    <w:rsid w:val="00866146"/>
    <w:rsid w:val="00871211"/>
    <w:rsid w:val="00887811"/>
    <w:rsid w:val="00887D02"/>
    <w:rsid w:val="008B0EB9"/>
    <w:rsid w:val="008B6510"/>
    <w:rsid w:val="0091151D"/>
    <w:rsid w:val="00951276"/>
    <w:rsid w:val="00972F7C"/>
    <w:rsid w:val="009A2416"/>
    <w:rsid w:val="009A4809"/>
    <w:rsid w:val="009C58CE"/>
    <w:rsid w:val="00A04B39"/>
    <w:rsid w:val="00A12F51"/>
    <w:rsid w:val="00A67066"/>
    <w:rsid w:val="00A85D28"/>
    <w:rsid w:val="00A86AAF"/>
    <w:rsid w:val="00AA1A01"/>
    <w:rsid w:val="00AC74C0"/>
    <w:rsid w:val="00AD17D1"/>
    <w:rsid w:val="00AE0FC6"/>
    <w:rsid w:val="00AF56FC"/>
    <w:rsid w:val="00B26AC9"/>
    <w:rsid w:val="00B46AE2"/>
    <w:rsid w:val="00B6659C"/>
    <w:rsid w:val="00B73B18"/>
    <w:rsid w:val="00B81813"/>
    <w:rsid w:val="00BB057E"/>
    <w:rsid w:val="00BC7035"/>
    <w:rsid w:val="00BD46F1"/>
    <w:rsid w:val="00BE4129"/>
    <w:rsid w:val="00C05791"/>
    <w:rsid w:val="00C13C34"/>
    <w:rsid w:val="00C27EDB"/>
    <w:rsid w:val="00C33108"/>
    <w:rsid w:val="00C34595"/>
    <w:rsid w:val="00C66D8E"/>
    <w:rsid w:val="00D104C7"/>
    <w:rsid w:val="00D23BA4"/>
    <w:rsid w:val="00D51FE7"/>
    <w:rsid w:val="00D617E2"/>
    <w:rsid w:val="00D6640C"/>
    <w:rsid w:val="00D869DA"/>
    <w:rsid w:val="00DD6CAC"/>
    <w:rsid w:val="00DF35D6"/>
    <w:rsid w:val="00E51AFC"/>
    <w:rsid w:val="00E56C37"/>
    <w:rsid w:val="00ED2983"/>
    <w:rsid w:val="00F0103A"/>
    <w:rsid w:val="00F01A92"/>
    <w:rsid w:val="00F04687"/>
    <w:rsid w:val="00F06A0F"/>
    <w:rsid w:val="00F3382F"/>
    <w:rsid w:val="00F61B23"/>
    <w:rsid w:val="00F95B18"/>
    <w:rsid w:val="00FC1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6CD66"/>
  <w15:chartTrackingRefBased/>
  <w15:docId w15:val="{3598EEC0-B175-4320-8AA5-E5D42B98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8B0E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B0EB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8B0EB9"/>
    <w:rPr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B0E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B0EB9"/>
    <w:rPr>
      <w:rFonts w:ascii="Segoe UI" w:hAnsi="Segoe UI" w:cs="Segoe UI"/>
      <w:sz w:val="18"/>
      <w:szCs w:val="18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405398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405398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405398"/>
    <w:rPr>
      <w:vertAlign w:val="superscript"/>
    </w:rPr>
  </w:style>
  <w:style w:type="character" w:styleId="Hyperkobling">
    <w:name w:val="Hyperlink"/>
    <w:basedOn w:val="Standardskriftforavsnitt"/>
    <w:uiPriority w:val="99"/>
    <w:semiHidden/>
    <w:unhideWhenUsed/>
    <w:rsid w:val="000D28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ondheim.kommune.no/tema/veg-vann-og-avlop/vann-og-avlop/vann-og-avlop-for-innbygger/" TargetMode="External"/><Relationship Id="rId1" Type="http://schemas.openxmlformats.org/officeDocument/2006/relationships/hyperlink" Target="https://www.oslo.kommune.no/vann-og-avlop/priser-beregninger-og-vannmal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4736BA7287C64A83BF7546AF94B515" ma:contentTypeVersion="6" ma:contentTypeDescription="Create a new document." ma:contentTypeScope="" ma:versionID="e52a722e7ed59467bcb1fe04e32e97a5">
  <xsd:schema xmlns:xsd="http://www.w3.org/2001/XMLSchema" xmlns:xs="http://www.w3.org/2001/XMLSchema" xmlns:p="http://schemas.microsoft.com/office/2006/metadata/properties" xmlns:ns2="89e58acb-590a-45cc-aec2-aadc6b25036c" xmlns:ns3="dfae9505-d818-449a-be51-086ab4fc288f" targetNamespace="http://schemas.microsoft.com/office/2006/metadata/properties" ma:root="true" ma:fieldsID="02eecb356d36e78c01f9a653e11f8ffc" ns2:_="" ns3:_="">
    <xsd:import namespace="89e58acb-590a-45cc-aec2-aadc6b25036c"/>
    <xsd:import namespace="dfae9505-d818-449a-be51-086ab4fc28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58acb-590a-45cc-aec2-aadc6b2503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e9505-d818-449a-be51-086ab4fc2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90EF2E-83DA-41E0-83E4-4765DED377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55E405-5C20-474D-A542-064858FFA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29456B-F6FF-479C-AD74-FAB532FAD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58acb-590a-45cc-aec2-aadc6b25036c"/>
    <ds:schemaRef ds:uri="dfae9505-d818-449a-be51-086ab4fc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879</Words>
  <Characters>4662</Characters>
  <Application>Microsoft Office Word</Application>
  <DocSecurity>0</DocSecurity>
  <Lines>38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Rosseland Sandhaug</dc:creator>
  <cp:keywords/>
  <dc:description/>
  <cp:lastModifiedBy>Elin Riise</cp:lastModifiedBy>
  <cp:revision>2</cp:revision>
  <dcterms:created xsi:type="dcterms:W3CDTF">2023-02-02T11:29:00Z</dcterms:created>
  <dcterms:modified xsi:type="dcterms:W3CDTF">2023-02-02T11:29:00Z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0x010100A64736BA7287C64A83BF7546AF94B515</vt:lpwstr>
  </property>
</Properties>
</file>