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F1" w:rsidRPr="008F1E9A" w:rsidRDefault="00331ABB" w:rsidP="006709F1">
      <w:pPr>
        <w:spacing w:before="100" w:beforeAutospacing="1" w:after="100" w:afterAutospacing="1" w:line="240" w:lineRule="auto"/>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t>Forurensningsloven</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b/>
          <w:bCs/>
          <w:sz w:val="24"/>
          <w:szCs w:val="24"/>
          <w:lang w:eastAsia="nb-NO"/>
        </w:rPr>
        <w:t>§ 22.</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(krav til utførelse av avløpsanlegg)</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Forurensningsmyndigheten kan i forskrift eller i det enkelte tilfelle fastsette nærmere krav til avløpsledning, herunder om den skal være lukket og vanntett. Forurensningsmyndigheten kan avgjøre om alt avløpsvann skal ledes i felles ledning eller om det skal kreves særskilte ledninger for ulike typer avløpsvann.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 omlegging eller utbedring av avløpsledninger kan forurensningsmyndigheten kreve at eier av tilknyttet stikkledning foretar tilsvarende omlegging eller utbedring. Også ellers kan forurensningsmyndigheten kreve omlegging eller utbedring av stikkledning, når særlige grunner tilsier det.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I utslippstillatelse for avløpsanlegg kan det settes som vilkår at dette innrettes slik at anlegget kan ta avløpsvann fra annen kommune eller fra andre eiendommer. Merkostnaden dette fører til skal betales av de som får muligheter til tilknytning. I mangel av avtale, fastsettes merkostnaden og fordelingen av dette ved rettslig skjønn. Kostnadene ved underskjønnet skal deles forholdsvis mellom partene i skjønnssaken som får muligheter for tilknytning.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b/>
          <w:bCs/>
          <w:sz w:val="24"/>
          <w:szCs w:val="24"/>
          <w:lang w:eastAsia="nb-NO"/>
        </w:rPr>
        <w:t>§ 73.</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(tvangsmulkt ved forhold i strid med loven)</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 å sikre at bestemmelsene i denne lov eller vedtak i medhold av loven blir gjennomført, kan forurensningsmyndigheten fatte vedtak om tvangsmulkt til staten.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Tvangsmulkt kan fastsettes når overtredelse av loven eller vedtak i medhold av loven er oppdaget. Tvangsmulkten begynner å løpe dersom den ansvarlige oversitter den frist for retting av forholdet som forurensningsmyndigheten har fastsatt. Tvangsmulkt kan også fastsettes på forhånd og løper da fra eventuell overtredelse tar til. Det kan fastsettes at tvangsmulkten løper så lenge det ulovlige forhold varer, eller at det forfaller for hver overtredelse. Tvangsmulkt fastsettes som løpende mulkt eller engangsmulkt. Det kan fastsettes at tvangsmulkten løper så lenge det ulovlige forholdet varer, eller at det forfaller for hver overtredelse.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Tvangsmulkt ilegges den ansvarlige for overtredelsen. Er overtredelsen skjedd på vegne av et selskap eller en annen sammenslutning, en stiftelse, en kommune, fylkeskommune eller annen offentlig innretning, skal tvangsmulkten vanligvis pålegges virksomheten som sådan. Er overtredelsen skjedd på vegne av en beredskapsorganisasjon opprettet etter § 42, kan tvangsmulkten pålegges de deltagende selskaper.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Vedtak om tvangsmulkt er tvangsgrunnlag for utlegg. Forurensningsmyndigheten kan frafalle påløpt tvangsmulkt.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bookmarkStart w:id="0" w:name="74"/>
      <w:bookmarkStart w:id="1" w:name="_GoBack"/>
      <w:bookmarkEnd w:id="0"/>
      <w:bookmarkEnd w:id="1"/>
      <w:r w:rsidRPr="00331ABB">
        <w:rPr>
          <w:rFonts w:ascii="Times New Roman" w:eastAsia="Times New Roman" w:hAnsi="Times New Roman" w:cs="Times New Roman"/>
          <w:b/>
          <w:bCs/>
          <w:sz w:val="24"/>
          <w:szCs w:val="24"/>
          <w:lang w:eastAsia="nb-NO"/>
        </w:rPr>
        <w:t>§ 74.</w:t>
      </w:r>
      <w:r w:rsidRPr="00331ABB">
        <w:rPr>
          <w:rFonts w:ascii="Times New Roman" w:eastAsia="Times New Roman" w:hAnsi="Times New Roman" w:cs="Times New Roman"/>
          <w:sz w:val="24"/>
          <w:szCs w:val="24"/>
          <w:lang w:eastAsia="nb-NO"/>
        </w:rPr>
        <w:t xml:space="preserve"> </w:t>
      </w:r>
      <w:r w:rsidRPr="00331ABB">
        <w:rPr>
          <w:rFonts w:ascii="Times New Roman" w:eastAsia="Times New Roman" w:hAnsi="Times New Roman" w:cs="Times New Roman"/>
          <w:i/>
          <w:iCs/>
          <w:sz w:val="24"/>
          <w:szCs w:val="24"/>
          <w:lang w:eastAsia="nb-NO"/>
        </w:rPr>
        <w:t>(umiddelbar gjennomføring ved forurensningsmyndigheten)</w:t>
      </w:r>
      <w:r w:rsidRPr="00331ABB">
        <w:rPr>
          <w:rFonts w:ascii="Times New Roman" w:eastAsia="Times New Roman" w:hAnsi="Times New Roman" w:cs="Times New Roman"/>
          <w:sz w:val="24"/>
          <w:szCs w:val="24"/>
          <w:lang w:eastAsia="nb-NO"/>
        </w:rPr>
        <w:t xml:space="preserv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Har forurensningsmyndigheten gitt pålegg i medhold av § 7 fjerde ledd eller § 37 første eller annet ledd som ikke etterkommes av den ansvarlige, kan forurensningsmyndigheten sørge for iverksetting av tiltakene.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lastRenderedPageBreak/>
        <w:t xml:space="preserve">       Forurensningsmyndigheten kan også sørge for iverksetting av tiltakene dersom slikt pålegg kan medføre at iverksettelsen av tiltakene forsinkes eller dersom det er uvisst hvem som er ansvarlig.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Ved iverksetting av tiltak etter første og annet ledd kan forurensningsmyndigheten gjøre bruk av og om nødvendig volde skade på den ansvarliges eiendom. </w:t>
      </w:r>
    </w:p>
    <w:p w:rsidR="00331ABB" w:rsidRPr="00331ABB" w:rsidRDefault="00331ABB" w:rsidP="00331ABB">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Forurensningsmyndigheten kan gi nærmere forskrifter om gjennomføring av tiltak etter første og annet ledd. </w:t>
      </w:r>
    </w:p>
    <w:p w:rsidR="00331ABB" w:rsidRPr="00331ABB" w:rsidRDefault="00331ABB"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331ABB">
        <w:rPr>
          <w:rFonts w:ascii="Times New Roman" w:eastAsia="Times New Roman" w:hAnsi="Times New Roman" w:cs="Times New Roman"/>
          <w:sz w:val="24"/>
          <w:szCs w:val="24"/>
          <w:lang w:eastAsia="nb-NO"/>
        </w:rPr>
        <w:t xml:space="preserve">       Inngrep mot akutt forurensning eller fare for akutt forurensning på det frie åpne hav og i ytre norsk sjøterritorium skal skje i samsvar med mellomfolkelig overenskomst som Norge har sluttet seg til. Forurensningsmyndigheten kan gi forskrift om slikt inngrep og om gjennomføring av slik overenskomst i norsk rett.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b/>
          <w:bCs/>
          <w:sz w:val="28"/>
          <w:szCs w:val="28"/>
          <w:lang w:eastAsia="nb-NO"/>
        </w:rPr>
      </w:pPr>
      <w:r w:rsidRPr="009902FD">
        <w:rPr>
          <w:rFonts w:ascii="Times New Roman" w:eastAsia="Times New Roman" w:hAnsi="Times New Roman" w:cs="Times New Roman"/>
          <w:b/>
          <w:bCs/>
          <w:sz w:val="28"/>
          <w:szCs w:val="28"/>
          <w:lang w:eastAsia="nb-NO"/>
        </w:rPr>
        <w:t>Forvaltningsloven</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(veiledningsplikt).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Forvaltningsorganene har innenfor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en alminnelig veiledningsplikt. Formålet med veiledningen skal være å gi parter og andre interesserte adgang til å vareta sitt tarv i bestemte saker på best mulig måte. Omfanget av veiledningen må likevel tilpasses det enkelte forvaltningsorgans situasjon og kapasitet til å påta seg slik virksomhet.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Forvaltningsorganer som behandler saker med en eller flere private parter, skal av eget tiltak vurdere partenes behov for veiledning. Etter forespørsel fra en part og ellers når sakens art eller partens forhold gir grunn til det, skal forvaltningsorganet gi veiledning om: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gjeldende lover og forskrifter og vanlig praksis på vedkommende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og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regler for saksbehandlingen, særlig om parters rettigheter og plikter etter forvaltningsloven. Om mulig bør forvaltningsorganet også peke på omstendigheter som i det konkrete tilfellet særlig kan få betydning for resultatet.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Uavhengig av om sak pågår, plikter forvaltningsorganet innen sitt </w:t>
      </w:r>
      <w:proofErr w:type="spellStart"/>
      <w:r w:rsidRPr="009902FD">
        <w:rPr>
          <w:rFonts w:ascii="Times New Roman" w:eastAsia="Times New Roman" w:hAnsi="Times New Roman" w:cs="Times New Roman"/>
          <w:sz w:val="24"/>
          <w:szCs w:val="24"/>
          <w:lang w:eastAsia="nb-NO"/>
        </w:rPr>
        <w:t>sakområde</w:t>
      </w:r>
      <w:proofErr w:type="spellEnd"/>
      <w:r w:rsidRPr="009902FD">
        <w:rPr>
          <w:rFonts w:ascii="Times New Roman" w:eastAsia="Times New Roman" w:hAnsi="Times New Roman" w:cs="Times New Roman"/>
          <w:sz w:val="24"/>
          <w:szCs w:val="24"/>
          <w:lang w:eastAsia="nb-NO"/>
        </w:rPr>
        <w:t xml:space="preserve"> å gi veiledning som nevnt i annet ledd til en person som spør om sine rettigheter og plikter i et konkret forhold som har aktuell interesse for ham.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Dersom noen henvender seg til urette myndighet, skal det forvaltningsorgan som mottar henvendelsen, om mulig vise vedkommende til rett organ. Inneholder en henvendelse til et forvaltningsorgan feil, misforståelser, unøyaktigheter eller andre mangler som avsenderen bør rette, skal organet om nødvendig gi beskjed om dette. Organet bør samtidig gi frist til å rette opp mangelen og eventuelt gi veiledning om hvordan dette kan gjøres. </w:t>
      </w:r>
    </w:p>
    <w:p w:rsid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Kongen kan gi nærmere bestemmelse om utstrekningen av veiledningsplikten og om den måten veiledningen skal ytes på.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18.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(partenes adgang til å gjøre seg kjent med sakens dokumenter).</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En part har rett til å gjøre seg kjent med sakens dokumenter, for så vidt ikke annet følger av reglene i §§ 18 til 19. Dersom en mindreårig er part i saken og blir representert av verge, gjelder dette også den mindreårige selv. Retten til innsyn gjelder også etter at det er truffet vedtak i saken. En mindreårig under 15 år skal ikke gjøres kjent med opplysninger som er underlagt lovbestemt taushetsplikt.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Når det er adgang til å gjøre unntak fra innsyn, skal forvaltningsorganet likevel vurdere å gi helt eller delvis innsyn. Innsyn bør gis dersom hensynet til parten veier tyngre enn behovet for unntak.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b/>
          <w:bCs/>
          <w:sz w:val="24"/>
          <w:szCs w:val="24"/>
          <w:lang w:eastAsia="nb-NO"/>
        </w:rPr>
        <w:t>§ 28.</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(vedtak som kan påklages, klageinstans).</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Enkeltvedtak kan påklages av en part eller annen med rettslig klageinteresse i saken til det forvaltningsorgan (klageinstansen) som er nærmest overordnet det forvaltningsorgan som har truffet vedtaket (underinstansen).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enkeltvedtak som er truffet av forvaltningsorgan opprettet i medhold av lov om kommuner og fylkeskommuner, er klageinstansen kommunestyret eller fylkestinget, eller etter disses bestemmelse, formannskapet eller fylkesutvalget eller en eller flere særskilte klagenemnder oppnevnt av kommunestyret eller fylkestinget. Departementet er likevel klageinstans når vedtak er truffet av kommunestyret eller fylkestinget. Vedkommende statlige organ er klageinstans når vedtak er truffet i henhold til myndighet delegert fra et statlig forvaltningsorgan.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Med mindre Kongen bestemmer annerledes, kan klageinstansens vedtak i klagesak ikke påklages. Klageinstansens vedtak om å avvise klagen kan likevel påklages, unntatt: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også underinstansen traff vedtak om å avvise klagen,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underinstansen har prøvd avvisningsspørsmålet og kommet til at vilkårene for realitetsbehandling er til stede,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når Kongen vil være klageinstans,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når klagen er avvist av en uavhengig klagenemnd.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Er det klagerett over et vedtak om å avvise en klage som er truffet av et kommunalt eller fylkeskommunalt organ som klageinstans, går klagen til fylkesmannen.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særskilte saksområder kan Kongen fastsette klageregler som utfyller eller avviker fra reglene i dette kapittel. Forskrift som begrenser klageretten eller som ellers vesentlig endrer reglene til skade for partsinteresser, kan bare gis når tungtveiende grunner taler for det.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2" w:name="29"/>
      <w:bookmarkEnd w:id="2"/>
      <w:r w:rsidRPr="009902FD">
        <w:rPr>
          <w:rFonts w:ascii="Times New Roman" w:eastAsia="Times New Roman" w:hAnsi="Times New Roman" w:cs="Times New Roman"/>
          <w:b/>
          <w:bCs/>
          <w:sz w:val="24"/>
          <w:szCs w:val="24"/>
          <w:lang w:eastAsia="nb-NO"/>
        </w:rPr>
        <w:t>§ 29.</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(klagefrist).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Fristen for å klage er 3 uker fra det tidspunkt underretning om vedtaket er kommet frem til vedkommende part. Skjer underretningen ved offentlig kunngjøring, begynner klagefristen å løpe fra den dag vedtaket første gang ble kunngjort.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den som ikke har mottatt underretning om vedtaket, løper fristen fra det tidspunkt han har fått eller burde ha skaffet sig kjennskap til vedtaket. Ved vedtak som går ut på å tilstå </w:t>
      </w:r>
      <w:r w:rsidRPr="009902FD">
        <w:rPr>
          <w:rFonts w:ascii="Times New Roman" w:eastAsia="Times New Roman" w:hAnsi="Times New Roman" w:cs="Times New Roman"/>
          <w:sz w:val="24"/>
          <w:szCs w:val="24"/>
          <w:lang w:eastAsia="nb-NO"/>
        </w:rPr>
        <w:lastRenderedPageBreak/>
        <w:t xml:space="preserve">noen en rettighet, skal klagefristen for andre likevel senest løpe ut når det er gått 3 måneder fra det tidspunkt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Har en part krevet å få oppgitt begrunnelsen for vedtaket etter § 24 annet ledd, avbrytes klagefristen. Ny klagefrist tar til å løpe fra det tidspunkt meddelelse om begrunnelse er kommet frem til ham eller han på annen måte er gjort kjent med den.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Vedkommende underinstans eller klageinstans kan i særlige tilfelle forlenge klagefristen før denne er utløpet.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3" w:name="30"/>
      <w:bookmarkEnd w:id="3"/>
      <w:r w:rsidRPr="009902FD">
        <w:rPr>
          <w:rFonts w:ascii="Times New Roman" w:eastAsia="Times New Roman" w:hAnsi="Times New Roman" w:cs="Times New Roman"/>
          <w:b/>
          <w:bCs/>
          <w:sz w:val="24"/>
          <w:szCs w:val="24"/>
          <w:lang w:eastAsia="nb-NO"/>
        </w:rPr>
        <w:t>§ 30.</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(når klagen må være fremsatt).</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For at klage skal være fremsatt i tide, er det nok at erklæringen før utløpet av fristen er avgitt til postoperatør som skal sørge for å få sendingen frem til forvaltningsorganet, til offentlig tjenestemann som har fullmakt til å ta imot erklæringen eller er kommet frem til den elektroniske adresse som forvaltningsorganet har oppgitt for mottak av elektroniske klager. Kommer erklæringen ikke frem, må den gjentas innen en uke etter at vedkommende har fått vite om dette eller burde ha forstått det eller – om den opprinnelige frist er kortere - innen en frist av samme lengde som denne. Fristen regnes overensstemmende med reglene i domstollovens §§ 148 og 149.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4" w:name="31"/>
      <w:bookmarkEnd w:id="4"/>
      <w:r w:rsidRPr="009902FD">
        <w:rPr>
          <w:rFonts w:ascii="Times New Roman" w:eastAsia="Times New Roman" w:hAnsi="Times New Roman" w:cs="Times New Roman"/>
          <w:b/>
          <w:bCs/>
          <w:sz w:val="24"/>
          <w:szCs w:val="24"/>
          <w:lang w:eastAsia="nb-NO"/>
        </w:rPr>
        <w:t>§ 31.</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w:t>
      </w:r>
      <w:proofErr w:type="spellStart"/>
      <w:r w:rsidRPr="009902FD">
        <w:rPr>
          <w:rFonts w:ascii="Times New Roman" w:eastAsia="Times New Roman" w:hAnsi="Times New Roman" w:cs="Times New Roman"/>
          <w:i/>
          <w:iCs/>
          <w:sz w:val="24"/>
          <w:szCs w:val="24"/>
          <w:lang w:eastAsia="nb-NO"/>
        </w:rPr>
        <w:t>oversitting</w:t>
      </w:r>
      <w:proofErr w:type="spellEnd"/>
      <w:r w:rsidRPr="009902FD">
        <w:rPr>
          <w:rFonts w:ascii="Times New Roman" w:eastAsia="Times New Roman" w:hAnsi="Times New Roman" w:cs="Times New Roman"/>
          <w:i/>
          <w:iCs/>
          <w:sz w:val="24"/>
          <w:szCs w:val="24"/>
          <w:lang w:eastAsia="nb-NO"/>
        </w:rPr>
        <w:t xml:space="preserve"> av klagefristen).</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Selv om klageren har oversittet klagefristen, kan klagen tas under behandling såframt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parten eller hans fullmektig ikke kan lastes for å ha oversittet fristen eller for å ha drøyd med klage etterpå, eller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det av særlige grunner er rimelig at klagen blir prøvd.</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Ved vurderingen av om klagen bør tas opp til behandling, skal det også legges vekt på om endring av vedtaket kan medføre skade eller ulempe for andre.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Klagen kan ikke tas under behandling som klagesak dersom det er gått mer enn ett år siden vedtaket ble truffet.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bookmarkStart w:id="5" w:name="32"/>
      <w:bookmarkEnd w:id="5"/>
      <w:r w:rsidRPr="009902FD">
        <w:rPr>
          <w:rFonts w:ascii="Times New Roman" w:eastAsia="Times New Roman" w:hAnsi="Times New Roman" w:cs="Times New Roman"/>
          <w:b/>
          <w:bCs/>
          <w:sz w:val="24"/>
          <w:szCs w:val="24"/>
          <w:lang w:eastAsia="nb-NO"/>
        </w:rPr>
        <w:t>§ 32.</w:t>
      </w:r>
      <w:r w:rsidRPr="009902FD">
        <w:rPr>
          <w:rFonts w:ascii="Times New Roman" w:eastAsia="Times New Roman" w:hAnsi="Times New Roman" w:cs="Times New Roman"/>
          <w:sz w:val="24"/>
          <w:szCs w:val="24"/>
          <w:lang w:eastAsia="nb-NO"/>
        </w:rPr>
        <w:t xml:space="preserve"> </w:t>
      </w:r>
      <w:r w:rsidRPr="009902FD">
        <w:rPr>
          <w:rFonts w:ascii="Times New Roman" w:eastAsia="Times New Roman" w:hAnsi="Times New Roman" w:cs="Times New Roman"/>
          <w:i/>
          <w:iCs/>
          <w:sz w:val="24"/>
          <w:szCs w:val="24"/>
          <w:lang w:eastAsia="nb-NO"/>
        </w:rPr>
        <w:t>(klagens adressat, form og innhold).</w:t>
      </w:r>
      <w:r w:rsidRPr="009902FD">
        <w:rPr>
          <w:rFonts w:ascii="Times New Roman" w:eastAsia="Times New Roman" w:hAnsi="Times New Roman" w:cs="Times New Roman"/>
          <w:sz w:val="24"/>
          <w:szCs w:val="24"/>
          <w:lang w:eastAsia="nb-NO"/>
        </w:rPr>
        <w:t xml:space="preserv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skal: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a)</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fremsettes for det forvaltningsorgan som har truffet vedtaket; dersom muntlig klage er tillatt, skal erklæringen settes opp skriftlig av vedkommende forvaltningsorgan;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b)</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være undertegnet av klageren eller hans fullmektig eller være autentisert som fastsatt i forskrift, eller i medhold av forskrift, jf. § 15 a;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c)</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nevne det vedtak som det klages over, og om påkrevet </w:t>
            </w:r>
            <w:proofErr w:type="gramStart"/>
            <w:r w:rsidRPr="009902FD">
              <w:rPr>
                <w:rFonts w:ascii="Times New Roman" w:eastAsia="Times New Roman" w:hAnsi="Times New Roman" w:cs="Times New Roman"/>
                <w:sz w:val="24"/>
                <w:szCs w:val="24"/>
                <w:lang w:eastAsia="nb-NO"/>
              </w:rPr>
              <w:t>gi</w:t>
            </w:r>
            <w:proofErr w:type="gramEnd"/>
            <w:r w:rsidRPr="009902FD">
              <w:rPr>
                <w:rFonts w:ascii="Times New Roman" w:eastAsia="Times New Roman" w:hAnsi="Times New Roman" w:cs="Times New Roman"/>
                <w:sz w:val="24"/>
                <w:szCs w:val="24"/>
                <w:lang w:eastAsia="nb-NO"/>
              </w:rPr>
              <w:t xml:space="preserve"> opplysninger til bedømmelse av klagerett og av om klagefrist er overholdt; </w:t>
            </w:r>
          </w:p>
        </w:tc>
      </w:tr>
    </w:tbl>
    <w:p w:rsidR="009902FD" w:rsidRPr="009902FD" w:rsidRDefault="009902FD" w:rsidP="009902FD">
      <w:pPr>
        <w:spacing w:after="0" w:line="240" w:lineRule="auto"/>
        <w:rPr>
          <w:rFonts w:ascii="Times New Roman" w:eastAsia="Times New Roman" w:hAnsi="Times New Roman" w:cs="Times New Roman"/>
          <w:vanish/>
          <w:sz w:val="24"/>
          <w:szCs w:val="24"/>
          <w:lang w:eastAsia="nb-N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08"/>
        <w:gridCol w:w="8754"/>
      </w:tblGrid>
      <w:tr w:rsidR="009902FD" w:rsidRPr="009902FD" w:rsidTr="009902FD">
        <w:trPr>
          <w:tblCellSpacing w:w="15" w:type="dxa"/>
        </w:trPr>
        <w:tc>
          <w:tcPr>
            <w:tcW w:w="200" w:type="pct"/>
            <w:hideMark/>
          </w:tcPr>
          <w:p w:rsidR="009902FD" w:rsidRPr="009902FD" w:rsidRDefault="009902FD" w:rsidP="009902FD">
            <w:pPr>
              <w:spacing w:after="0" w:line="240" w:lineRule="auto"/>
              <w:jc w:val="right"/>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d)</w:t>
            </w:r>
          </w:p>
        </w:tc>
        <w:tc>
          <w:tcPr>
            <w:tcW w:w="0" w:type="auto"/>
            <w:hideMark/>
          </w:tcPr>
          <w:p w:rsidR="009902FD" w:rsidRPr="009902FD" w:rsidRDefault="009902FD" w:rsidP="009902FD">
            <w:pPr>
              <w:spacing w:after="0" w:line="240" w:lineRule="auto"/>
              <w:rPr>
                <w:rFonts w:ascii="Times New Roman" w:eastAsia="Times New Roman" w:hAnsi="Times New Roman" w:cs="Times New Roman"/>
                <w:sz w:val="24"/>
                <w:szCs w:val="24"/>
                <w:lang w:eastAsia="nb-NO"/>
              </w:rPr>
            </w:pPr>
            <w:proofErr w:type="gramStart"/>
            <w:r w:rsidRPr="009902FD">
              <w:rPr>
                <w:rFonts w:ascii="Times New Roman" w:eastAsia="Times New Roman" w:hAnsi="Times New Roman" w:cs="Times New Roman"/>
                <w:sz w:val="24"/>
                <w:szCs w:val="24"/>
                <w:lang w:eastAsia="nb-NO"/>
              </w:rPr>
              <w:t>nevne den endring som ønskes i det vedtak det klages over.</w:t>
            </w:r>
            <w:proofErr w:type="gramEnd"/>
            <w:r w:rsidRPr="009902FD">
              <w:rPr>
                <w:rFonts w:ascii="Times New Roman" w:eastAsia="Times New Roman" w:hAnsi="Times New Roman" w:cs="Times New Roman"/>
                <w:sz w:val="24"/>
                <w:szCs w:val="24"/>
                <w:lang w:eastAsia="nb-NO"/>
              </w:rPr>
              <w:t xml:space="preserve"> </w:t>
            </w:r>
          </w:p>
        </w:tc>
      </w:tr>
    </w:tbl>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Erklæringene bør også nevne de grunner klagen støtter seg til.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lastRenderedPageBreak/>
        <w:t xml:space="preserve">       Inneholder en erklæring om klage feil eller mangler, setter forvaltningsorganet en kort frist for rettelse eller utfylling.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r w:rsidRPr="009902FD">
        <w:rPr>
          <w:rFonts w:ascii="Times New Roman" w:eastAsia="Times New Roman" w:hAnsi="Times New Roman" w:cs="Times New Roman"/>
          <w:sz w:val="24"/>
          <w:szCs w:val="24"/>
          <w:lang w:eastAsia="nb-NO"/>
        </w:rPr>
        <w:t xml:space="preserve">       Erklæring om klage kan fremsettes ved bruk av elektronisk kommunikasjon dersom det forvaltningsorganet som skal motta klagen, har lagt til rette for dette. </w:t>
      </w:r>
    </w:p>
    <w:p w:rsidR="009902FD" w:rsidRPr="009902FD" w:rsidRDefault="009902FD" w:rsidP="009902FD">
      <w:pPr>
        <w:spacing w:before="100" w:beforeAutospacing="1" w:after="100" w:afterAutospacing="1" w:line="240" w:lineRule="auto"/>
        <w:rPr>
          <w:rFonts w:ascii="Times New Roman" w:eastAsia="Times New Roman" w:hAnsi="Times New Roman" w:cs="Times New Roman"/>
          <w:sz w:val="24"/>
          <w:szCs w:val="24"/>
          <w:lang w:eastAsia="nb-NO"/>
        </w:rPr>
      </w:pPr>
    </w:p>
    <w:p w:rsidR="009902FD" w:rsidRPr="006709F1" w:rsidRDefault="009902FD"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6709F1" w:rsidRDefault="006709F1" w:rsidP="006709F1">
      <w:pPr>
        <w:pStyle w:val="NormalWeb"/>
      </w:pPr>
    </w:p>
    <w:p w:rsidR="006709F1" w:rsidRDefault="006709F1" w:rsidP="006709F1">
      <w:pPr>
        <w:pStyle w:val="NormalWeb"/>
      </w:pPr>
    </w:p>
    <w:p w:rsidR="006709F1" w:rsidRPr="006709F1" w:rsidRDefault="006709F1" w:rsidP="006709F1">
      <w:pPr>
        <w:spacing w:before="100" w:beforeAutospacing="1" w:after="100" w:afterAutospacing="1" w:line="240" w:lineRule="auto"/>
        <w:rPr>
          <w:rFonts w:ascii="Times New Roman" w:eastAsia="Times New Roman" w:hAnsi="Times New Roman" w:cs="Times New Roman"/>
          <w:sz w:val="24"/>
          <w:szCs w:val="24"/>
          <w:lang w:eastAsia="nb-NO"/>
        </w:rPr>
      </w:pPr>
    </w:p>
    <w:p w:rsidR="00581D92" w:rsidRDefault="00581D92"/>
    <w:sectPr w:rsidR="00581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9F1"/>
    <w:rsid w:val="00331ABB"/>
    <w:rsid w:val="00581D92"/>
    <w:rsid w:val="00645CBD"/>
    <w:rsid w:val="006709F1"/>
    <w:rsid w:val="008F1E9A"/>
    <w:rsid w:val="009902FD"/>
    <w:rsid w:val="00CC66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3">
    <w:name w:val="heading 3"/>
    <w:basedOn w:val="Normal"/>
    <w:link w:val="Overskrift3Tegn"/>
    <w:uiPriority w:val="9"/>
    <w:qFormat/>
    <w:rsid w:val="006709F1"/>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6709F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rsid w:val="006709F1"/>
    <w:rPr>
      <w:rFonts w:ascii="Times New Roman" w:eastAsia="Times New Roman" w:hAnsi="Times New Roman" w:cs="Times New Roman"/>
      <w:b/>
      <w:bCs/>
      <w:sz w:val="27"/>
      <w:szCs w:val="2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736">
      <w:bodyDiv w:val="1"/>
      <w:marLeft w:val="0"/>
      <w:marRight w:val="0"/>
      <w:marTop w:val="0"/>
      <w:marBottom w:val="0"/>
      <w:divBdr>
        <w:top w:val="none" w:sz="0" w:space="0" w:color="auto"/>
        <w:left w:val="none" w:sz="0" w:space="0" w:color="auto"/>
        <w:bottom w:val="none" w:sz="0" w:space="0" w:color="auto"/>
        <w:right w:val="none" w:sz="0" w:space="0" w:color="auto"/>
      </w:divBdr>
    </w:div>
    <w:div w:id="220486749">
      <w:bodyDiv w:val="1"/>
      <w:marLeft w:val="0"/>
      <w:marRight w:val="0"/>
      <w:marTop w:val="0"/>
      <w:marBottom w:val="0"/>
      <w:divBdr>
        <w:top w:val="none" w:sz="0" w:space="0" w:color="auto"/>
        <w:left w:val="none" w:sz="0" w:space="0" w:color="auto"/>
        <w:bottom w:val="none" w:sz="0" w:space="0" w:color="auto"/>
        <w:right w:val="none" w:sz="0" w:space="0" w:color="auto"/>
      </w:divBdr>
    </w:div>
    <w:div w:id="503664329">
      <w:bodyDiv w:val="1"/>
      <w:marLeft w:val="0"/>
      <w:marRight w:val="0"/>
      <w:marTop w:val="0"/>
      <w:marBottom w:val="0"/>
      <w:divBdr>
        <w:top w:val="none" w:sz="0" w:space="0" w:color="auto"/>
        <w:left w:val="none" w:sz="0" w:space="0" w:color="auto"/>
        <w:bottom w:val="none" w:sz="0" w:space="0" w:color="auto"/>
        <w:right w:val="none" w:sz="0" w:space="0" w:color="auto"/>
      </w:divBdr>
    </w:div>
    <w:div w:id="532572953">
      <w:bodyDiv w:val="1"/>
      <w:marLeft w:val="0"/>
      <w:marRight w:val="0"/>
      <w:marTop w:val="0"/>
      <w:marBottom w:val="0"/>
      <w:divBdr>
        <w:top w:val="none" w:sz="0" w:space="0" w:color="auto"/>
        <w:left w:val="none" w:sz="0" w:space="0" w:color="auto"/>
        <w:bottom w:val="none" w:sz="0" w:space="0" w:color="auto"/>
        <w:right w:val="none" w:sz="0" w:space="0" w:color="auto"/>
      </w:divBdr>
    </w:div>
    <w:div w:id="651568486">
      <w:bodyDiv w:val="1"/>
      <w:marLeft w:val="0"/>
      <w:marRight w:val="0"/>
      <w:marTop w:val="0"/>
      <w:marBottom w:val="0"/>
      <w:divBdr>
        <w:top w:val="none" w:sz="0" w:space="0" w:color="auto"/>
        <w:left w:val="none" w:sz="0" w:space="0" w:color="auto"/>
        <w:bottom w:val="none" w:sz="0" w:space="0" w:color="auto"/>
        <w:right w:val="none" w:sz="0" w:space="0" w:color="auto"/>
      </w:divBdr>
    </w:div>
    <w:div w:id="949775266">
      <w:bodyDiv w:val="1"/>
      <w:marLeft w:val="0"/>
      <w:marRight w:val="0"/>
      <w:marTop w:val="0"/>
      <w:marBottom w:val="0"/>
      <w:divBdr>
        <w:top w:val="none" w:sz="0" w:space="0" w:color="auto"/>
        <w:left w:val="none" w:sz="0" w:space="0" w:color="auto"/>
        <w:bottom w:val="none" w:sz="0" w:space="0" w:color="auto"/>
        <w:right w:val="none" w:sz="0" w:space="0" w:color="auto"/>
      </w:divBdr>
    </w:div>
    <w:div w:id="1001591158">
      <w:bodyDiv w:val="1"/>
      <w:marLeft w:val="0"/>
      <w:marRight w:val="0"/>
      <w:marTop w:val="0"/>
      <w:marBottom w:val="0"/>
      <w:divBdr>
        <w:top w:val="none" w:sz="0" w:space="0" w:color="auto"/>
        <w:left w:val="none" w:sz="0" w:space="0" w:color="auto"/>
        <w:bottom w:val="none" w:sz="0" w:space="0" w:color="auto"/>
        <w:right w:val="none" w:sz="0" w:space="0" w:color="auto"/>
      </w:divBdr>
    </w:div>
    <w:div w:id="1041512404">
      <w:bodyDiv w:val="1"/>
      <w:marLeft w:val="0"/>
      <w:marRight w:val="0"/>
      <w:marTop w:val="0"/>
      <w:marBottom w:val="0"/>
      <w:divBdr>
        <w:top w:val="none" w:sz="0" w:space="0" w:color="auto"/>
        <w:left w:val="none" w:sz="0" w:space="0" w:color="auto"/>
        <w:bottom w:val="none" w:sz="0" w:space="0" w:color="auto"/>
        <w:right w:val="none" w:sz="0" w:space="0" w:color="auto"/>
      </w:divBdr>
    </w:div>
    <w:div w:id="1043141122">
      <w:bodyDiv w:val="1"/>
      <w:marLeft w:val="0"/>
      <w:marRight w:val="0"/>
      <w:marTop w:val="0"/>
      <w:marBottom w:val="0"/>
      <w:divBdr>
        <w:top w:val="none" w:sz="0" w:space="0" w:color="auto"/>
        <w:left w:val="none" w:sz="0" w:space="0" w:color="auto"/>
        <w:bottom w:val="none" w:sz="0" w:space="0" w:color="auto"/>
        <w:right w:val="none" w:sz="0" w:space="0" w:color="auto"/>
      </w:divBdr>
    </w:div>
    <w:div w:id="1365981013">
      <w:bodyDiv w:val="1"/>
      <w:marLeft w:val="0"/>
      <w:marRight w:val="0"/>
      <w:marTop w:val="0"/>
      <w:marBottom w:val="0"/>
      <w:divBdr>
        <w:top w:val="none" w:sz="0" w:space="0" w:color="auto"/>
        <w:left w:val="none" w:sz="0" w:space="0" w:color="auto"/>
        <w:bottom w:val="none" w:sz="0" w:space="0" w:color="auto"/>
        <w:right w:val="none" w:sz="0" w:space="0" w:color="auto"/>
      </w:divBdr>
    </w:div>
    <w:div w:id="1420374151">
      <w:bodyDiv w:val="1"/>
      <w:marLeft w:val="0"/>
      <w:marRight w:val="0"/>
      <w:marTop w:val="0"/>
      <w:marBottom w:val="0"/>
      <w:divBdr>
        <w:top w:val="none" w:sz="0" w:space="0" w:color="auto"/>
        <w:left w:val="none" w:sz="0" w:space="0" w:color="auto"/>
        <w:bottom w:val="none" w:sz="0" w:space="0" w:color="auto"/>
        <w:right w:val="none" w:sz="0" w:space="0" w:color="auto"/>
      </w:divBdr>
    </w:div>
    <w:div w:id="1501122503">
      <w:bodyDiv w:val="1"/>
      <w:marLeft w:val="0"/>
      <w:marRight w:val="0"/>
      <w:marTop w:val="0"/>
      <w:marBottom w:val="0"/>
      <w:divBdr>
        <w:top w:val="none" w:sz="0" w:space="0" w:color="auto"/>
        <w:left w:val="none" w:sz="0" w:space="0" w:color="auto"/>
        <w:bottom w:val="none" w:sz="0" w:space="0" w:color="auto"/>
        <w:right w:val="none" w:sz="0" w:space="0" w:color="auto"/>
      </w:divBdr>
    </w:div>
    <w:div w:id="1728603374">
      <w:bodyDiv w:val="1"/>
      <w:marLeft w:val="0"/>
      <w:marRight w:val="0"/>
      <w:marTop w:val="0"/>
      <w:marBottom w:val="0"/>
      <w:divBdr>
        <w:top w:val="none" w:sz="0" w:space="0" w:color="auto"/>
        <w:left w:val="none" w:sz="0" w:space="0" w:color="auto"/>
        <w:bottom w:val="none" w:sz="0" w:space="0" w:color="auto"/>
        <w:right w:val="none" w:sz="0" w:space="0" w:color="auto"/>
      </w:divBdr>
    </w:div>
    <w:div w:id="1791165540">
      <w:bodyDiv w:val="1"/>
      <w:marLeft w:val="0"/>
      <w:marRight w:val="0"/>
      <w:marTop w:val="0"/>
      <w:marBottom w:val="0"/>
      <w:divBdr>
        <w:top w:val="none" w:sz="0" w:space="0" w:color="auto"/>
        <w:left w:val="none" w:sz="0" w:space="0" w:color="auto"/>
        <w:bottom w:val="none" w:sz="0" w:space="0" w:color="auto"/>
        <w:right w:val="none" w:sz="0" w:space="0" w:color="auto"/>
      </w:divBdr>
    </w:div>
    <w:div w:id="1916083980">
      <w:bodyDiv w:val="1"/>
      <w:marLeft w:val="0"/>
      <w:marRight w:val="0"/>
      <w:marTop w:val="0"/>
      <w:marBottom w:val="0"/>
      <w:divBdr>
        <w:top w:val="none" w:sz="0" w:space="0" w:color="auto"/>
        <w:left w:val="none" w:sz="0" w:space="0" w:color="auto"/>
        <w:bottom w:val="none" w:sz="0" w:space="0" w:color="auto"/>
        <w:right w:val="none" w:sz="0" w:space="0" w:color="auto"/>
      </w:divBdr>
    </w:div>
    <w:div w:id="1961255941">
      <w:bodyDiv w:val="1"/>
      <w:marLeft w:val="0"/>
      <w:marRight w:val="0"/>
      <w:marTop w:val="0"/>
      <w:marBottom w:val="0"/>
      <w:divBdr>
        <w:top w:val="none" w:sz="0" w:space="0" w:color="auto"/>
        <w:left w:val="none" w:sz="0" w:space="0" w:color="auto"/>
        <w:bottom w:val="none" w:sz="0" w:space="0" w:color="auto"/>
        <w:right w:val="none" w:sz="0" w:space="0" w:color="auto"/>
      </w:divBdr>
    </w:div>
    <w:div w:id="21254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1761</Words>
  <Characters>9335</Characters>
  <Application>Microsoft Office Word</Application>
  <DocSecurity>0</DocSecurity>
  <Lines>77</Lines>
  <Paragraphs>22</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11074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Riise</dc:creator>
  <cp:lastModifiedBy>Elin Riise</cp:lastModifiedBy>
  <cp:revision>3</cp:revision>
  <dcterms:created xsi:type="dcterms:W3CDTF">2013-02-13T10:24:00Z</dcterms:created>
  <dcterms:modified xsi:type="dcterms:W3CDTF">2013-02-13T10:31:00Z</dcterms:modified>
</cp:coreProperties>
</file>